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ED942" w14:textId="77777777" w:rsidR="006E736A" w:rsidRDefault="00000000" w:rsidP="00F41AB2">
      <w:pPr>
        <w:pStyle w:val="BodyText"/>
        <w:spacing w:before="64"/>
        <w:jc w:val="center"/>
      </w:pPr>
      <w:bookmarkStart w:id="0" w:name="4_–_Executive_agencies_–_SV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SV</w:t>
      </w:r>
    </w:p>
    <w:p w14:paraId="3241A03B" w14:textId="77777777" w:rsidR="006E736A" w:rsidRDefault="006E736A" w:rsidP="00F41AB2">
      <w:pPr>
        <w:pStyle w:val="BodyText"/>
        <w:spacing w:before="71"/>
      </w:pPr>
    </w:p>
    <w:p w14:paraId="1AACB673" w14:textId="77777777" w:rsidR="006E736A" w:rsidRDefault="00000000" w:rsidP="00F41AB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EE02A66" w14:textId="77777777" w:rsidR="006E736A" w:rsidRDefault="006E736A" w:rsidP="00F41AB2">
      <w:pPr>
        <w:pStyle w:val="BodyText"/>
        <w:spacing w:before="80"/>
        <w:rPr>
          <w:i/>
        </w:rPr>
      </w:pPr>
    </w:p>
    <w:p w14:paraId="28C775FB" w14:textId="00F1DF25" w:rsidR="006E736A" w:rsidRDefault="00000000" w:rsidP="00F41AB2">
      <w:pPr>
        <w:pStyle w:val="BodyText"/>
        <w:ind w:left="85"/>
      </w:pPr>
      <w:r>
        <w:t>Manuskriptet</w:t>
      </w:r>
      <w:r>
        <w:rPr>
          <w:spacing w:val="-8"/>
        </w:rPr>
        <w:t xml:space="preserve"> </w:t>
      </w:r>
      <w:r>
        <w:t>färdigställt</w:t>
      </w:r>
      <w:r w:rsidR="00F41AB2">
        <w:rPr>
          <w:spacing w:val="-8"/>
        </w:rPr>
        <w:t xml:space="preserve"> i </w:t>
      </w:r>
      <w:r>
        <w:t>[månad]</w:t>
      </w:r>
      <w:r>
        <w:rPr>
          <w:spacing w:val="-8"/>
        </w:rPr>
        <w:t xml:space="preserve"> </w:t>
      </w:r>
      <w:r>
        <w:rPr>
          <w:spacing w:val="-2"/>
        </w:rPr>
        <w:t>[år].</w:t>
      </w:r>
    </w:p>
    <w:p w14:paraId="3FB856F1" w14:textId="442F4B36" w:rsidR="00F41AB2" w:rsidRPr="00F41AB2" w:rsidRDefault="00000000" w:rsidP="00F41AB2">
      <w:pPr>
        <w:pStyle w:val="BodyText"/>
        <w:spacing w:line="540" w:lineRule="atLeast"/>
        <w:ind w:left="85" w:right="136"/>
      </w:pPr>
      <w:r>
        <w:t>Reviderad</w:t>
      </w:r>
      <w:r>
        <w:rPr>
          <w:spacing w:val="-6"/>
        </w:rPr>
        <w:t xml:space="preserve"> </w:t>
      </w:r>
      <w:r>
        <w:t>utgåva</w:t>
      </w:r>
      <w:r w:rsidR="00F41AB2">
        <w:rPr>
          <w:spacing w:val="-6"/>
        </w:rPr>
        <w:t xml:space="preserve"> / </w:t>
      </w:r>
      <w:r>
        <w:t>Rättad</w:t>
      </w:r>
      <w:r>
        <w:rPr>
          <w:spacing w:val="-6"/>
        </w:rPr>
        <w:t xml:space="preserve"> </w:t>
      </w:r>
      <w:r>
        <w:t>utgåva</w:t>
      </w:r>
      <w:r w:rsidR="00F41AB2">
        <w:rPr>
          <w:spacing w:val="-6"/>
        </w:rPr>
        <w:t xml:space="preserve"> / </w:t>
      </w:r>
      <w:r>
        <w:t>Första/Andra/</w:t>
      </w:r>
      <w:r>
        <w:rPr>
          <w:i/>
        </w:rPr>
        <w:t>n</w:t>
      </w:r>
      <w:r>
        <w:t>:e</w:t>
      </w:r>
      <w:r>
        <w:rPr>
          <w:spacing w:val="-6"/>
        </w:rPr>
        <w:t xml:space="preserve"> </w:t>
      </w:r>
      <w:r>
        <w:t>utgåvan</w:t>
      </w:r>
    </w:p>
    <w:p w14:paraId="0705D975" w14:textId="3E2D76EA" w:rsidR="006E736A" w:rsidRDefault="00F41AB2" w:rsidP="00F41AB2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6167A27" w14:textId="77777777" w:rsidR="00F41AB2" w:rsidRDefault="00000000" w:rsidP="00F41AB2">
      <w:pPr>
        <w:pStyle w:val="BodyText"/>
        <w:spacing w:before="104" w:line="564" w:lineRule="auto"/>
        <w:ind w:left="85"/>
      </w:pPr>
      <w:r>
        <w:t>Detta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utgör</w:t>
      </w:r>
      <w:r>
        <w:rPr>
          <w:spacing w:val="-5"/>
        </w:rPr>
        <w:t xml:space="preserve"> </w:t>
      </w:r>
      <w:r>
        <w:t>inte</w:t>
      </w:r>
      <w:r>
        <w:rPr>
          <w:spacing w:val="-5"/>
        </w:rPr>
        <w:t xml:space="preserve"> </w:t>
      </w:r>
      <w:r>
        <w:t>ett</w:t>
      </w:r>
      <w:r>
        <w:rPr>
          <w:spacing w:val="-5"/>
        </w:rPr>
        <w:t xml:space="preserve"> </w:t>
      </w:r>
      <w:r>
        <w:t>officiellt</w:t>
      </w:r>
      <w:r>
        <w:rPr>
          <w:spacing w:val="-5"/>
        </w:rPr>
        <w:t xml:space="preserve"> </w:t>
      </w:r>
      <w:r>
        <w:t>ställningstagande</w:t>
      </w:r>
      <w:r>
        <w:rPr>
          <w:spacing w:val="-5"/>
        </w:rPr>
        <w:t xml:space="preserve"> </w:t>
      </w:r>
      <w:r>
        <w:t>från</w:t>
      </w:r>
      <w:r>
        <w:rPr>
          <w:spacing w:val="-5"/>
        </w:rPr>
        <w:t xml:space="preserve"> </w:t>
      </w:r>
      <w:r>
        <w:t>Europeiska</w:t>
      </w:r>
      <w:r>
        <w:rPr>
          <w:spacing w:val="-5"/>
        </w:rPr>
        <w:t xml:space="preserve"> </w:t>
      </w:r>
      <w:r>
        <w:t>kommissionens</w:t>
      </w:r>
      <w:r>
        <w:rPr>
          <w:spacing w:val="-5"/>
        </w:rPr>
        <w:t xml:space="preserve"> </w:t>
      </w:r>
      <w:r>
        <w:t>sida</w:t>
      </w:r>
      <w:r w:rsidR="00F41AB2">
        <w:t>.</w:t>
      </w:r>
    </w:p>
    <w:p w14:paraId="0674049F" w14:textId="57592CFE" w:rsidR="006E736A" w:rsidRDefault="00F41AB2" w:rsidP="00F41AB2">
      <w:pPr>
        <w:pStyle w:val="BodyText"/>
        <w:spacing w:before="104" w:line="564" w:lineRule="auto"/>
        <w:ind w:left="85"/>
      </w:pPr>
      <w:r>
        <w:t>Luxemburg</w:t>
      </w:r>
      <w:r w:rsidR="00000000">
        <w:t>: Europeiska unionens publikationsbyrå, [år]</w:t>
      </w:r>
    </w:p>
    <w:p w14:paraId="08929CF9" w14:textId="77777777" w:rsidR="00F41AB2" w:rsidRPr="00F41AB2" w:rsidRDefault="00000000" w:rsidP="00F41AB2">
      <w:pPr>
        <w:pStyle w:val="BodyText"/>
        <w:spacing w:line="348" w:lineRule="auto"/>
        <w:ind w:left="85"/>
      </w:pPr>
      <w:r>
        <w:t>© [Genomförandeorgan], [år]</w:t>
      </w:r>
    </w:p>
    <w:p w14:paraId="2BE1F432" w14:textId="1DEC2D4D" w:rsidR="006E736A" w:rsidRDefault="00F41AB2" w:rsidP="00F41AB2">
      <w:pPr>
        <w:pStyle w:val="BodyText"/>
        <w:spacing w:line="348" w:lineRule="auto"/>
        <w:ind w:left="85"/>
      </w:pPr>
      <w:r w:rsidRPr="00F41AB2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42BA90A8" w14:textId="77777777" w:rsidR="00F41AB2" w:rsidRPr="00F41AB2" w:rsidRDefault="00000000" w:rsidP="00F41AB2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5382007E" wp14:editId="3D59BFBC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FE74F2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[Genomförandeorgan],</w:t>
      </w:r>
      <w:r>
        <w:rPr>
          <w:spacing w:val="-4"/>
        </w:rPr>
        <w:t xml:space="preserve"> </w:t>
      </w:r>
      <w:r>
        <w:t>[år].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innehållet</w:t>
      </w:r>
      <w:r>
        <w:rPr>
          <w:spacing w:val="-4"/>
        </w:rPr>
        <w:t xml:space="preserve"> </w:t>
      </w:r>
      <w:r>
        <w:t>har</w:t>
      </w:r>
      <w:r>
        <w:rPr>
          <w:spacing w:val="-4"/>
        </w:rPr>
        <w:t xml:space="preserve"> </w:t>
      </w:r>
      <w:r>
        <w:t>skapats</w:t>
      </w:r>
      <w:r>
        <w:rPr>
          <w:spacing w:val="-4"/>
        </w:rPr>
        <w:t xml:space="preserve"> </w:t>
      </w:r>
      <w:r>
        <w:t>med</w:t>
      </w:r>
      <w:r>
        <w:rPr>
          <w:spacing w:val="-4"/>
        </w:rPr>
        <w:t xml:space="preserve"> </w:t>
      </w:r>
      <w:r>
        <w:t>hjälp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[AI-verktygets</w:t>
      </w:r>
      <w:r>
        <w:rPr>
          <w:spacing w:val="-4"/>
        </w:rPr>
        <w:t xml:space="preserve"> </w:t>
      </w:r>
      <w:r>
        <w:t>namn].</w:t>
      </w:r>
    </w:p>
    <w:p w14:paraId="1661F0FE" w14:textId="2B1298B0" w:rsidR="006E736A" w:rsidRDefault="00F41AB2" w:rsidP="00F41AB2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666F70C" w14:textId="77777777" w:rsidR="006E736A" w:rsidRDefault="006E736A" w:rsidP="00F41AB2">
      <w:pPr>
        <w:pStyle w:val="BodyText"/>
      </w:pPr>
    </w:p>
    <w:p w14:paraId="772058BA" w14:textId="77777777" w:rsidR="006E736A" w:rsidRDefault="006E736A" w:rsidP="00F41AB2">
      <w:pPr>
        <w:pStyle w:val="BodyText"/>
        <w:spacing w:before="60"/>
      </w:pPr>
    </w:p>
    <w:p w14:paraId="2EF8E1D0" w14:textId="54D7D9D4" w:rsidR="006E736A" w:rsidRDefault="00000000" w:rsidP="00F41AB2">
      <w:pPr>
        <w:pStyle w:val="BodyText"/>
        <w:spacing w:before="1" w:line="244" w:lineRule="auto"/>
        <w:ind w:left="85"/>
      </w:pPr>
      <w:r>
        <w:t>Genomförandeorganen tillämpar kommissionens regler för vidareutnyttjande som förklaras</w:t>
      </w:r>
      <w:r w:rsidR="00F41AB2">
        <w:t xml:space="preserve"> i </w:t>
      </w:r>
      <w:r>
        <w:t>kommissionens beslut</w:t>
      </w:r>
      <w:r>
        <w:rPr>
          <w:spacing w:val="-6"/>
        </w:rPr>
        <w:t xml:space="preserve"> </w:t>
      </w:r>
      <w:r>
        <w:t>2011/833/EU</w:t>
      </w:r>
      <w:r>
        <w:rPr>
          <w:spacing w:val="-6"/>
        </w:rPr>
        <w:t xml:space="preserve"> </w:t>
      </w:r>
      <w:r>
        <w:t>av</w:t>
      </w:r>
      <w:r>
        <w:rPr>
          <w:spacing w:val="-6"/>
        </w:rPr>
        <w:t xml:space="preserve"> </w:t>
      </w:r>
      <w:r>
        <w:t>den</w:t>
      </w:r>
      <w:r w:rsidR="00F41AB2">
        <w:rPr>
          <w:spacing w:val="-6"/>
        </w:rPr>
        <w:t xml:space="preserve"> 12 </w:t>
      </w:r>
      <w:r>
        <w:t>december</w:t>
      </w:r>
      <w:r>
        <w:rPr>
          <w:spacing w:val="-6"/>
        </w:rPr>
        <w:t xml:space="preserve"> </w:t>
      </w:r>
      <w:r>
        <w:t>2011</w:t>
      </w:r>
      <w:r>
        <w:rPr>
          <w:spacing w:val="-6"/>
        </w:rPr>
        <w:t xml:space="preserve"> </w:t>
      </w:r>
      <w:r>
        <w:t>om</w:t>
      </w:r>
      <w:r>
        <w:rPr>
          <w:spacing w:val="-6"/>
        </w:rPr>
        <w:t xml:space="preserve"> </w:t>
      </w:r>
      <w:r>
        <w:t>vidareutnyttjande</w:t>
      </w:r>
      <w:r>
        <w:rPr>
          <w:spacing w:val="-6"/>
        </w:rPr>
        <w:t xml:space="preserve"> </w:t>
      </w:r>
      <w:r>
        <w:t>av</w:t>
      </w:r>
      <w:r>
        <w:rPr>
          <w:spacing w:val="-6"/>
        </w:rPr>
        <w:t xml:space="preserve"> </w:t>
      </w:r>
      <w:r>
        <w:t>kommissionens</w:t>
      </w:r>
      <w:r>
        <w:rPr>
          <w:spacing w:val="-6"/>
        </w:rPr>
        <w:t xml:space="preserve"> </w:t>
      </w:r>
      <w:r>
        <w:t>handlingar</w:t>
      </w:r>
      <w:r>
        <w:rPr>
          <w:spacing w:val="-6"/>
        </w:rPr>
        <w:t xml:space="preserve"> </w:t>
      </w:r>
      <w:r>
        <w:t>(EUT</w:t>
      </w:r>
      <w:r>
        <w:rPr>
          <w:spacing w:val="-6"/>
        </w:rPr>
        <w:t xml:space="preserve"> </w:t>
      </w:r>
      <w:r w:rsidR="00F41AB2">
        <w:t>L 330</w:t>
      </w:r>
      <w:r>
        <w:t>, 14.12.2011,</w:t>
      </w:r>
      <w:r w:rsidR="00F41AB2">
        <w:t xml:space="preserve"> s. </w:t>
      </w:r>
      <w:r>
        <w:t xml:space="preserve">39, </w:t>
      </w:r>
      <w:r w:rsidR="00F41AB2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1CFBC759" w14:textId="7DACFA60" w:rsidR="006E736A" w:rsidRDefault="00000000" w:rsidP="00F41AB2">
      <w:pPr>
        <w:pStyle w:val="BodyText"/>
        <w:spacing w:before="98" w:line="244" w:lineRule="auto"/>
        <w:ind w:left="85"/>
      </w:pPr>
      <w:r>
        <w:t>Om</w:t>
      </w:r>
      <w:r>
        <w:rPr>
          <w:spacing w:val="-3"/>
        </w:rPr>
        <w:t xml:space="preserve"> </w:t>
      </w:r>
      <w:r>
        <w:t>inte</w:t>
      </w:r>
      <w:r>
        <w:rPr>
          <w:spacing w:val="-3"/>
        </w:rPr>
        <w:t xml:space="preserve"> </w:t>
      </w:r>
      <w:r>
        <w:t>annat</w:t>
      </w:r>
      <w:r>
        <w:rPr>
          <w:spacing w:val="-3"/>
        </w:rPr>
        <w:t xml:space="preserve"> </w:t>
      </w:r>
      <w:r>
        <w:t>anges</w:t>
      </w:r>
      <w:r>
        <w:rPr>
          <w:spacing w:val="-3"/>
        </w:rPr>
        <w:t xml:space="preserve"> </w:t>
      </w:r>
      <w:r>
        <w:t>får</w:t>
      </w:r>
      <w:r>
        <w:rPr>
          <w:spacing w:val="-3"/>
        </w:rPr>
        <w:t xml:space="preserve"> </w:t>
      </w:r>
      <w:r>
        <w:t>detta</w:t>
      </w:r>
      <w:r>
        <w:rPr>
          <w:spacing w:val="-3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vidareutnyttjas</w:t>
      </w:r>
      <w:r>
        <w:rPr>
          <w:spacing w:val="-3"/>
        </w:rPr>
        <w:t xml:space="preserve"> </w:t>
      </w:r>
      <w:r>
        <w:t>enligt</w:t>
      </w:r>
      <w:r>
        <w:rPr>
          <w:spacing w:val="-3"/>
        </w:rPr>
        <w:t xml:space="preserve"> </w:t>
      </w:r>
      <w:r>
        <w:t>villkoren</w:t>
      </w:r>
      <w:r w:rsidR="00F41AB2">
        <w:rPr>
          <w:spacing w:val="-3"/>
        </w:rPr>
        <w:t xml:space="preserve"> i </w:t>
      </w:r>
      <w:r>
        <w:t>licensen</w:t>
      </w:r>
      <w:r>
        <w:rPr>
          <w:spacing w:val="-3"/>
        </w:rPr>
        <w:t xml:space="preserve"> </w:t>
      </w:r>
      <w:r>
        <w:t>Creative</w:t>
      </w:r>
      <w:r>
        <w:rPr>
          <w:spacing w:val="-3"/>
        </w:rPr>
        <w:t xml:space="preserve"> </w:t>
      </w:r>
      <w:r>
        <w:t>Commons</w:t>
      </w:r>
      <w:r>
        <w:rPr>
          <w:spacing w:val="-3"/>
        </w:rPr>
        <w:t xml:space="preserve"> </w:t>
      </w:r>
      <w:r>
        <w:t>Attribution</w:t>
      </w:r>
      <w:r w:rsidR="00F41AB2">
        <w:rPr>
          <w:spacing w:val="-3"/>
        </w:rPr>
        <w:t> 4.0</w:t>
      </w:r>
      <w:r>
        <w:t xml:space="preserve"> International (</w:t>
      </w:r>
      <w:r w:rsidR="00F41AB2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Detta innebär att vidareutnyttjande är tillåtet förutsatt att källa anges på lämpligt sätt liksom eventuella förändringar.</w:t>
      </w:r>
    </w:p>
    <w:p w14:paraId="021B728F" w14:textId="77777777" w:rsidR="006E736A" w:rsidRDefault="006E736A" w:rsidP="00F41AB2">
      <w:pPr>
        <w:pStyle w:val="BodyText"/>
        <w:spacing w:before="74"/>
      </w:pPr>
    </w:p>
    <w:p w14:paraId="72068787" w14:textId="77777777" w:rsidR="006E736A" w:rsidRDefault="00000000" w:rsidP="00F41AB2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F8A2CFE" w14:textId="77777777" w:rsidR="006E736A" w:rsidRDefault="00000000" w:rsidP="00F41AB2">
      <w:pPr>
        <w:pStyle w:val="BodyText"/>
        <w:spacing w:before="104" w:line="244" w:lineRule="auto"/>
        <w:ind w:left="85"/>
      </w:pPr>
      <w:r>
        <w:t>Tillstånd för användning eller mångfaldigande av delar som inte ägs av Europeiska unionen eller [genomförandeorganet]</w:t>
      </w:r>
      <w:r>
        <w:rPr>
          <w:spacing w:val="-5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t>behöva</w:t>
      </w:r>
      <w:r>
        <w:rPr>
          <w:spacing w:val="-5"/>
        </w:rPr>
        <w:t xml:space="preserve"> </w:t>
      </w:r>
      <w:r>
        <w:t>sökas</w:t>
      </w:r>
      <w:r>
        <w:rPr>
          <w:spacing w:val="-5"/>
        </w:rPr>
        <w:t xml:space="preserve"> </w:t>
      </w:r>
      <w:r>
        <w:t>direkt</w:t>
      </w:r>
      <w:r>
        <w:rPr>
          <w:spacing w:val="-5"/>
        </w:rPr>
        <w:t xml:space="preserve"> </w:t>
      </w:r>
      <w:r>
        <w:t>från</w:t>
      </w:r>
      <w:r>
        <w:rPr>
          <w:spacing w:val="-5"/>
        </w:rPr>
        <w:t xml:space="preserve"> </w:t>
      </w:r>
      <w:r>
        <w:t>respektive</w:t>
      </w:r>
      <w:r>
        <w:rPr>
          <w:spacing w:val="-5"/>
        </w:rPr>
        <w:t xml:space="preserve"> </w:t>
      </w:r>
      <w:r>
        <w:t>upphovsrättsinnehavare. Europeiska</w:t>
      </w:r>
      <w:r>
        <w:rPr>
          <w:spacing w:val="-5"/>
        </w:rPr>
        <w:t xml:space="preserve"> </w:t>
      </w:r>
      <w:r>
        <w:t>unionen</w:t>
      </w:r>
      <w:r>
        <w:rPr>
          <w:spacing w:val="-5"/>
        </w:rPr>
        <w:t xml:space="preserve"> </w:t>
      </w:r>
      <w:r>
        <w:t>eller [genomförandeorganet] äger inte upphovsrätten till följande delar:</w:t>
      </w:r>
    </w:p>
    <w:p w14:paraId="72ED1337" w14:textId="77777777" w:rsidR="006E736A" w:rsidRDefault="00000000" w:rsidP="00F41AB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5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Unsplash.com].</w:t>
      </w:r>
    </w:p>
    <w:p w14:paraId="0C072A6E" w14:textId="77777777" w:rsidR="006E736A" w:rsidRDefault="00000000" w:rsidP="00F41AB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6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5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09F384C6" w14:textId="608FF532" w:rsidR="006E736A" w:rsidRDefault="00000000" w:rsidP="00F41AB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[del</w:t>
      </w:r>
      <w:r>
        <w:rPr>
          <w:spacing w:val="-4"/>
          <w:sz w:val="20"/>
        </w:rPr>
        <w:t xml:space="preserve"> </w:t>
      </w:r>
      <w:r>
        <w:rPr>
          <w:sz w:val="20"/>
        </w:rPr>
        <w:t>som</w:t>
      </w:r>
      <w:r>
        <w:rPr>
          <w:spacing w:val="-4"/>
          <w:sz w:val="20"/>
        </w:rPr>
        <w:t xml:space="preserve"> </w:t>
      </w:r>
      <w:r>
        <w:rPr>
          <w:sz w:val="20"/>
        </w:rPr>
        <w:t>berörs],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4"/>
          <w:sz w:val="20"/>
        </w:rPr>
        <w:t xml:space="preserve"> </w:t>
      </w:r>
      <w:r>
        <w:rPr>
          <w:sz w:val="20"/>
        </w:rPr>
        <w:t>med</w:t>
      </w:r>
      <w:r>
        <w:rPr>
          <w:spacing w:val="-4"/>
          <w:sz w:val="20"/>
        </w:rPr>
        <w:t xml:space="preserve"> </w:t>
      </w:r>
      <w:r w:rsidR="00F41AB2">
        <w:rPr>
          <w:sz w:val="20"/>
        </w:rPr>
        <w:t>CC BY</w:t>
      </w:r>
      <w:r w:rsidR="00F41AB2">
        <w:rPr>
          <w:spacing w:val="-4"/>
          <w:sz w:val="20"/>
        </w:rPr>
        <w:t> 2.0</w:t>
      </w:r>
      <w:r>
        <w:rPr>
          <w:sz w:val="20"/>
        </w:rPr>
        <w:t>-licens</w:t>
      </w:r>
      <w:r>
        <w:rPr>
          <w:spacing w:val="-4"/>
          <w:sz w:val="20"/>
        </w:rPr>
        <w:t xml:space="preserve"> </w:t>
      </w:r>
      <w:r w:rsidR="00F41AB2">
        <w:rPr>
          <w:sz w:val="20"/>
        </w:rPr>
        <w:t>[+ </w:t>
      </w:r>
      <w:r>
        <w:rPr>
          <w:sz w:val="20"/>
        </w:rPr>
        <w:t>länk</w:t>
      </w:r>
      <w:r>
        <w:rPr>
          <w:spacing w:val="-4"/>
          <w:sz w:val="20"/>
        </w:rPr>
        <w:t xml:space="preserve"> </w:t>
      </w:r>
      <w:r>
        <w:rPr>
          <w:sz w:val="20"/>
        </w:rPr>
        <w:t>till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licensen].</w:t>
      </w:r>
    </w:p>
    <w:p w14:paraId="5E3945FE" w14:textId="2D228C3B" w:rsidR="006E736A" w:rsidRDefault="00000000" w:rsidP="00F41AB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[Illustration/Foto/etc.],</w:t>
      </w:r>
      <w:r w:rsidR="00F41AB2">
        <w:rPr>
          <w:spacing w:val="-6"/>
          <w:sz w:val="20"/>
        </w:rPr>
        <w:t xml:space="preserve"> s.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[konstnärens</w:t>
      </w:r>
      <w:r>
        <w:rPr>
          <w:spacing w:val="-6"/>
          <w:sz w:val="20"/>
        </w:rPr>
        <w:t xml:space="preserve"> </w:t>
      </w:r>
      <w:r>
        <w:rPr>
          <w:sz w:val="20"/>
        </w:rPr>
        <w:t>namn],</w:t>
      </w:r>
      <w:r>
        <w:rPr>
          <w:spacing w:val="-5"/>
          <w:sz w:val="20"/>
        </w:rPr>
        <w:t xml:space="preserve"> </w:t>
      </w:r>
      <w:r>
        <w:rPr>
          <w:sz w:val="20"/>
        </w:rPr>
        <w:t>[år],</w:t>
      </w:r>
      <w:r>
        <w:rPr>
          <w:spacing w:val="-6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563F059A" w14:textId="77777777" w:rsidR="006E736A" w:rsidRDefault="006E736A" w:rsidP="00F41AB2">
      <w:pPr>
        <w:pStyle w:val="BodyText"/>
        <w:spacing w:before="80"/>
      </w:pPr>
    </w:p>
    <w:p w14:paraId="4AC6C71A" w14:textId="77777777" w:rsidR="006E736A" w:rsidRDefault="00000000" w:rsidP="00F41AB2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6D10856" w14:textId="77777777" w:rsidR="006E736A" w:rsidRDefault="00000000" w:rsidP="00F41AB2">
      <w:pPr>
        <w:pStyle w:val="BodyText"/>
        <w:spacing w:before="104" w:line="244" w:lineRule="auto"/>
        <w:ind w:left="85"/>
      </w:pPr>
      <w:r>
        <w:t>Tillstånd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t>användning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mångfaldigande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som</w:t>
      </w:r>
      <w:r>
        <w:rPr>
          <w:spacing w:val="-4"/>
        </w:rPr>
        <w:t xml:space="preserve"> </w:t>
      </w:r>
      <w:r>
        <w:t>inte</w:t>
      </w:r>
      <w:r>
        <w:rPr>
          <w:spacing w:val="-4"/>
        </w:rPr>
        <w:t xml:space="preserve"> </w:t>
      </w:r>
      <w:r>
        <w:t>ägs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Europeiska</w:t>
      </w:r>
      <w:r>
        <w:rPr>
          <w:spacing w:val="-4"/>
        </w:rPr>
        <w:t xml:space="preserve"> </w:t>
      </w:r>
      <w:r>
        <w:t>unionen</w:t>
      </w:r>
      <w:r>
        <w:rPr>
          <w:spacing w:val="-4"/>
        </w:rPr>
        <w:t xml:space="preserve"> </w:t>
      </w:r>
      <w:r>
        <w:t>eller [genomförandeorganet] kan behöva sökas direkt från respektive upphovsrättsinnehavare.</w:t>
      </w:r>
    </w:p>
    <w:p w14:paraId="5C39A78D" w14:textId="77777777" w:rsidR="006E736A" w:rsidRDefault="006E736A" w:rsidP="00F41AB2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E736A" w14:paraId="612AFC64" w14:textId="77777777">
        <w:trPr>
          <w:trHeight w:val="257"/>
        </w:trPr>
        <w:tc>
          <w:tcPr>
            <w:tcW w:w="773" w:type="dxa"/>
          </w:tcPr>
          <w:p w14:paraId="2ADDC409" w14:textId="77777777" w:rsidR="006E736A" w:rsidRDefault="00000000" w:rsidP="00F41AB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8B651C2" w14:textId="77777777" w:rsidR="006E736A" w:rsidRDefault="00000000" w:rsidP="00F41A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6B33B4" w14:textId="77777777" w:rsidR="006E736A" w:rsidRDefault="00000000" w:rsidP="00F41A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AB4B06" w14:textId="77777777" w:rsidR="006E736A" w:rsidRDefault="00000000" w:rsidP="00F41AB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269D55B" w14:textId="77777777" w:rsidR="006E736A" w:rsidRDefault="00000000" w:rsidP="00F41AB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E736A" w14:paraId="4C95A3E1" w14:textId="77777777">
        <w:trPr>
          <w:trHeight w:val="290"/>
        </w:trPr>
        <w:tc>
          <w:tcPr>
            <w:tcW w:w="773" w:type="dxa"/>
          </w:tcPr>
          <w:p w14:paraId="49217DBE" w14:textId="77777777" w:rsidR="006E736A" w:rsidRDefault="00000000" w:rsidP="00F41AB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4E1ADB4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0D19767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3AA0910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2A5899" w14:textId="77777777" w:rsidR="006E736A" w:rsidRDefault="00000000" w:rsidP="00F41AB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E736A" w14:paraId="02D8943D" w14:textId="77777777">
        <w:trPr>
          <w:trHeight w:val="290"/>
        </w:trPr>
        <w:tc>
          <w:tcPr>
            <w:tcW w:w="773" w:type="dxa"/>
          </w:tcPr>
          <w:p w14:paraId="23BCD56E" w14:textId="77777777" w:rsidR="006E736A" w:rsidRDefault="00000000" w:rsidP="00F41AB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E54A14C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FBCAD43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44FB635" w14:textId="77777777" w:rsidR="006E736A" w:rsidRDefault="00000000" w:rsidP="00F41AB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10E0B69" w14:textId="77777777" w:rsidR="006E736A" w:rsidRDefault="00000000" w:rsidP="00F41AB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E736A" w14:paraId="48A7018F" w14:textId="77777777">
        <w:trPr>
          <w:trHeight w:val="257"/>
        </w:trPr>
        <w:tc>
          <w:tcPr>
            <w:tcW w:w="773" w:type="dxa"/>
          </w:tcPr>
          <w:p w14:paraId="49BB9A83" w14:textId="77777777" w:rsidR="006E736A" w:rsidRDefault="00000000" w:rsidP="00F41AB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D236FD4" w14:textId="77777777" w:rsidR="006E736A" w:rsidRDefault="00000000" w:rsidP="00F41A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385F980" w14:textId="77777777" w:rsidR="006E736A" w:rsidRDefault="00000000" w:rsidP="00F41A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5C1630B" w14:textId="77777777" w:rsidR="006E736A" w:rsidRDefault="00000000" w:rsidP="00F41AB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70151AC" w14:textId="77777777" w:rsidR="006E736A" w:rsidRDefault="00000000" w:rsidP="00F41AB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9F3AF21" w14:textId="77777777" w:rsidR="006E736A" w:rsidRDefault="006E736A" w:rsidP="00F41AB2">
      <w:pPr>
        <w:pStyle w:val="BodyText"/>
      </w:pPr>
    </w:p>
    <w:p w14:paraId="24925936" w14:textId="77777777" w:rsidR="006E736A" w:rsidRDefault="006E736A" w:rsidP="00F41AB2">
      <w:pPr>
        <w:pStyle w:val="BodyText"/>
      </w:pPr>
    </w:p>
    <w:p w14:paraId="1D752664" w14:textId="77777777" w:rsidR="006E736A" w:rsidRDefault="006E736A" w:rsidP="00F41AB2">
      <w:pPr>
        <w:pStyle w:val="BodyText"/>
      </w:pPr>
    </w:p>
    <w:p w14:paraId="324E7F87" w14:textId="77777777" w:rsidR="006E736A" w:rsidRDefault="006E736A" w:rsidP="00F41AB2">
      <w:pPr>
        <w:pStyle w:val="BodyText"/>
      </w:pPr>
    </w:p>
    <w:p w14:paraId="087F3689" w14:textId="77777777" w:rsidR="006E736A" w:rsidRDefault="00000000" w:rsidP="00F41AB2">
      <w:pPr>
        <w:pStyle w:val="BodyText"/>
        <w:spacing w:before="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71D6098" wp14:editId="7D0F842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4535B" id="Graphic 7" o:spid="_x0000_s1026" style="position:absolute;margin-left:39.7pt;margin-top:19.45pt;width:146.85pt;height: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5BED1B" w14:textId="1A3B396B" w:rsidR="006E736A" w:rsidRDefault="00000000" w:rsidP="00F41AB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F41AB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F41AB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8A3D549" w14:textId="512F50F1" w:rsidR="006E736A" w:rsidRDefault="00000000" w:rsidP="00F41AB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F41AB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F41AB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03A3F5D" w14:textId="3AD1C262" w:rsidR="006E736A" w:rsidRDefault="00000000" w:rsidP="00F41AB2">
      <w:pPr>
        <w:spacing w:before="60" w:line="271" w:lineRule="auto"/>
        <w:ind w:left="745"/>
        <w:rPr>
          <w:sz w:val="18"/>
        </w:rPr>
      </w:pPr>
      <w:r>
        <w:rPr>
          <w:sz w:val="18"/>
        </w:rPr>
        <w:t>Vidareutnyttjande tillåtet med angivande av källan och förutsatt att detta dokuments ursprungliga mening eller budskap inte förvanskas. Europeiska kommissionen är inte ansvarig för eventuella följder av vidareutnyttjandet av denna publikation.</w:t>
      </w:r>
      <w:r>
        <w:rPr>
          <w:spacing w:val="-6"/>
          <w:sz w:val="18"/>
        </w:rPr>
        <w:t xml:space="preserve"> </w:t>
      </w:r>
      <w:r>
        <w:rPr>
          <w:sz w:val="18"/>
        </w:rPr>
        <w:t>Vidareutnyttjandet</w:t>
      </w:r>
      <w:r>
        <w:rPr>
          <w:spacing w:val="-6"/>
          <w:sz w:val="18"/>
        </w:rPr>
        <w:t xml:space="preserve"> </w:t>
      </w:r>
      <w:r>
        <w:rPr>
          <w:sz w:val="18"/>
        </w:rPr>
        <w:t>av</w:t>
      </w:r>
      <w:r>
        <w:rPr>
          <w:spacing w:val="-6"/>
          <w:sz w:val="18"/>
        </w:rPr>
        <w:t xml:space="preserve"> </w:t>
      </w:r>
      <w:r>
        <w:rPr>
          <w:sz w:val="18"/>
        </w:rPr>
        <w:t>Europeiska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kommissionens</w:t>
      </w:r>
      <w:r>
        <w:rPr>
          <w:spacing w:val="-6"/>
          <w:sz w:val="18"/>
        </w:rPr>
        <w:t xml:space="preserve"> </w:t>
      </w:r>
      <w:r>
        <w:rPr>
          <w:sz w:val="18"/>
        </w:rPr>
        <w:t>handlingar</w:t>
      </w:r>
      <w:r>
        <w:rPr>
          <w:spacing w:val="-6"/>
          <w:sz w:val="18"/>
        </w:rPr>
        <w:t xml:space="preserve"> </w:t>
      </w:r>
      <w:r>
        <w:rPr>
          <w:sz w:val="18"/>
        </w:rPr>
        <w:t>regleras</w:t>
      </w:r>
      <w:r>
        <w:rPr>
          <w:spacing w:val="-6"/>
          <w:sz w:val="18"/>
        </w:rPr>
        <w:t xml:space="preserve"> </w:t>
      </w:r>
      <w:r>
        <w:rPr>
          <w:sz w:val="18"/>
        </w:rPr>
        <w:t>enligt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kommissionens</w:t>
      </w:r>
      <w:r>
        <w:rPr>
          <w:spacing w:val="-6"/>
          <w:sz w:val="18"/>
        </w:rPr>
        <w:t xml:space="preserve"> </w:t>
      </w:r>
      <w:r>
        <w:rPr>
          <w:sz w:val="18"/>
        </w:rPr>
        <w:t>beslut</w:t>
      </w:r>
      <w:r>
        <w:rPr>
          <w:spacing w:val="-6"/>
          <w:sz w:val="18"/>
        </w:rPr>
        <w:t xml:space="preserve"> </w:t>
      </w:r>
      <w:r w:rsidR="00F41AB2">
        <w:rPr>
          <w:sz w:val="18"/>
        </w:rPr>
        <w:t>2011/833/</w:t>
      </w:r>
      <w:r>
        <w:rPr>
          <w:sz w:val="18"/>
        </w:rPr>
        <w:t>EU av den</w:t>
      </w:r>
      <w:r w:rsidR="00F41AB2">
        <w:rPr>
          <w:sz w:val="18"/>
        </w:rPr>
        <w:t xml:space="preserve"> 12 </w:t>
      </w:r>
      <w:r>
        <w:rPr>
          <w:sz w:val="18"/>
        </w:rPr>
        <w:t xml:space="preserve">december 2011 om vidareutnyttjande av kommissionens handlingar (EUT </w:t>
      </w:r>
      <w:r w:rsidR="00F41AB2">
        <w:rPr>
          <w:sz w:val="18"/>
        </w:rPr>
        <w:t>L 330</w:t>
      </w:r>
      <w:r>
        <w:rPr>
          <w:sz w:val="18"/>
        </w:rPr>
        <w:t>, 14.12.2011,</w:t>
      </w:r>
      <w:r w:rsidR="00F41AB2">
        <w:rPr>
          <w:sz w:val="18"/>
        </w:rPr>
        <w:t xml:space="preserve"> s. </w:t>
      </w:r>
      <w:r>
        <w:rPr>
          <w:sz w:val="18"/>
        </w:rPr>
        <w:t xml:space="preserve">39, </w:t>
      </w:r>
      <w:r w:rsidR="00F41AB2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F41AB2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659DB790" w14:textId="77777777" w:rsidR="006E736A" w:rsidRDefault="006E736A" w:rsidP="00F41AB2">
      <w:pPr>
        <w:spacing w:line="271" w:lineRule="auto"/>
        <w:rPr>
          <w:sz w:val="18"/>
        </w:rPr>
        <w:sectPr w:rsidR="006E736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E97F4EA" w14:textId="77777777" w:rsidR="006E736A" w:rsidRDefault="00000000" w:rsidP="00F41AB2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69B9A89" w14:textId="77777777" w:rsidR="006E736A" w:rsidRDefault="00000000" w:rsidP="00F41AB2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A845868" w14:textId="6D7B81F9" w:rsidR="006E736A" w:rsidRDefault="00000000" w:rsidP="00F41AB2">
      <w:pPr>
        <w:spacing w:before="104"/>
        <w:ind w:left="85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moms</w:t>
      </w:r>
      <w:r>
        <w:rPr>
          <w:sz w:val="20"/>
        </w:rPr>
        <w:t>)</w:t>
      </w:r>
      <w:r w:rsidR="00F41AB2">
        <w:rPr>
          <w:spacing w:val="-3"/>
          <w:sz w:val="20"/>
        </w:rPr>
        <w:t xml:space="preserve"> i </w:t>
      </w:r>
      <w:r>
        <w:rPr>
          <w:sz w:val="20"/>
        </w:rPr>
        <w:t>Luxemburg:</w:t>
      </w:r>
      <w:r>
        <w:rPr>
          <w:spacing w:val="-3"/>
          <w:sz w:val="20"/>
        </w:rPr>
        <w:t xml:space="preserve"> </w:t>
      </w:r>
      <w:r>
        <w:rPr>
          <w:sz w:val="20"/>
        </w:rPr>
        <w:t>…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EUR</w:t>
      </w:r>
    </w:p>
    <w:p w14:paraId="32405111" w14:textId="77777777" w:rsidR="006E736A" w:rsidRDefault="006E736A" w:rsidP="00F41AB2">
      <w:pPr>
        <w:rPr>
          <w:sz w:val="20"/>
        </w:rPr>
        <w:sectPr w:rsidR="006E736A">
          <w:pgSz w:w="11910" w:h="16840"/>
          <w:pgMar w:top="360" w:right="708" w:bottom="280" w:left="708" w:header="720" w:footer="720" w:gutter="0"/>
          <w:cols w:space="720"/>
        </w:sectPr>
      </w:pPr>
    </w:p>
    <w:p w14:paraId="6872D75C" w14:textId="77777777" w:rsidR="006E736A" w:rsidRDefault="00000000" w:rsidP="00F41AB2">
      <w:pPr>
        <w:pStyle w:val="Heading1"/>
        <w:spacing w:before="80"/>
      </w:pPr>
      <w:r>
        <w:lastRenderedPageBreak/>
        <w:t>Kontakta</w:t>
      </w:r>
      <w:r>
        <w:rPr>
          <w:spacing w:val="-8"/>
        </w:rPr>
        <w:t xml:space="preserve"> </w:t>
      </w:r>
      <w:r>
        <w:rPr>
          <w:spacing w:val="-5"/>
        </w:rPr>
        <w:t>EU</w:t>
      </w:r>
    </w:p>
    <w:p w14:paraId="18BCCAA0" w14:textId="77777777" w:rsidR="006E736A" w:rsidRDefault="00000000" w:rsidP="00F41AB2">
      <w:pPr>
        <w:pStyle w:val="Heading2"/>
        <w:spacing w:before="154"/>
      </w:pPr>
      <w:r>
        <w:rPr>
          <w:spacing w:val="-2"/>
        </w:rPr>
        <w:t>Besök</w:t>
      </w:r>
    </w:p>
    <w:p w14:paraId="1DB62CAD" w14:textId="56A807F8" w:rsidR="006E736A" w:rsidRDefault="00000000" w:rsidP="00F41AB2">
      <w:pPr>
        <w:spacing w:before="167" w:line="280" w:lineRule="auto"/>
        <w:ind w:left="85"/>
      </w:pPr>
      <w:r>
        <w:t>Det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hundratals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direkt-kontor</w:t>
      </w:r>
      <w:r w:rsidR="00F41AB2">
        <w:rPr>
          <w:spacing w:val="-4"/>
        </w:rPr>
        <w:t xml:space="preserve"> i </w:t>
      </w:r>
      <w:r>
        <w:t>hela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Hitta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närmaste</w:t>
      </w:r>
      <w:r>
        <w:rPr>
          <w:spacing w:val="-4"/>
        </w:rPr>
        <w:t xml:space="preserve"> </w:t>
      </w:r>
      <w:r>
        <w:t>kontor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 xml:space="preserve">nätet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70DCA670" w14:textId="77777777" w:rsidR="006E736A" w:rsidRDefault="00000000" w:rsidP="00F41AB2">
      <w:pPr>
        <w:pStyle w:val="Heading2"/>
        <w:spacing w:before="102"/>
      </w:pPr>
      <w:r>
        <w:t>Ring</w:t>
      </w:r>
      <w:r>
        <w:rPr>
          <w:spacing w:val="-5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skriv</w:t>
      </w:r>
    </w:p>
    <w:p w14:paraId="5BE9FC5D" w14:textId="77777777" w:rsidR="006E736A" w:rsidRDefault="00000000" w:rsidP="00F41AB2">
      <w:pPr>
        <w:spacing w:before="167"/>
        <w:ind w:left="85"/>
      </w:pPr>
      <w:r>
        <w:t>Tjänsten</w:t>
      </w:r>
      <w:r>
        <w:rPr>
          <w:spacing w:val="-7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svarar</w:t>
      </w:r>
      <w:r>
        <w:rPr>
          <w:spacing w:val="-5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dina</w:t>
      </w:r>
      <w:r>
        <w:rPr>
          <w:spacing w:val="-4"/>
        </w:rPr>
        <w:t xml:space="preserve"> </w:t>
      </w:r>
      <w:r>
        <w:t>frågor</w:t>
      </w:r>
      <w:r>
        <w:rPr>
          <w:spacing w:val="-4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tjänsten</w:t>
      </w:r>
      <w:r>
        <w:rPr>
          <w:spacing w:val="-4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något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följande</w:t>
      </w:r>
      <w:r>
        <w:rPr>
          <w:spacing w:val="-4"/>
        </w:rPr>
        <w:t xml:space="preserve"> </w:t>
      </w:r>
      <w:r>
        <w:rPr>
          <w:spacing w:val="-2"/>
        </w:rPr>
        <w:t>sätt:</w:t>
      </w:r>
    </w:p>
    <w:p w14:paraId="3A83685B" w14:textId="5CEA5032" w:rsidR="006E736A" w:rsidRDefault="00000000" w:rsidP="00F41AB2">
      <w:pPr>
        <w:pStyle w:val="ListParagraph"/>
        <w:numPr>
          <w:ilvl w:val="0"/>
          <w:numId w:val="1"/>
        </w:numPr>
        <w:tabs>
          <w:tab w:val="left" w:pos="474"/>
        </w:tabs>
        <w:spacing w:before="166"/>
        <w:ind w:left="474" w:hanging="399"/>
      </w:pPr>
      <w:r>
        <w:t>Ring</w:t>
      </w:r>
      <w:r>
        <w:rPr>
          <w:spacing w:val="-7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avgiftsfria</w:t>
      </w:r>
      <w:r>
        <w:rPr>
          <w:spacing w:val="-4"/>
        </w:rPr>
        <w:t xml:space="preserve"> </w:t>
      </w:r>
      <w:r>
        <w:t>telefonnumret</w:t>
      </w:r>
      <w:r>
        <w:rPr>
          <w:spacing w:val="-5"/>
        </w:rPr>
        <w:t xml:space="preserve"> </w:t>
      </w:r>
      <w:r w:rsidR="00F41AB2">
        <w:t>00 800 6 7 8 9 10 11</w:t>
      </w:r>
      <w:r>
        <w:rPr>
          <w:spacing w:val="-5"/>
        </w:rPr>
        <w:t xml:space="preserve"> </w:t>
      </w:r>
      <w:r>
        <w:t>(en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operatörer</w:t>
      </w:r>
      <w:r>
        <w:rPr>
          <w:spacing w:val="-4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t>ta</w:t>
      </w:r>
      <w:r>
        <w:rPr>
          <w:spacing w:val="-4"/>
        </w:rPr>
        <w:t xml:space="preserve"> </w:t>
      </w:r>
      <w:r>
        <w:t>betalt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rPr>
          <w:spacing w:val="-2"/>
        </w:rPr>
        <w:t>samtalet).</w:t>
      </w:r>
    </w:p>
    <w:p w14:paraId="5E474C77" w14:textId="17BA9DD7" w:rsidR="006E736A" w:rsidRDefault="00000000" w:rsidP="00F41AB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Ring</w:t>
      </w:r>
      <w:r>
        <w:rPr>
          <w:spacing w:val="-7"/>
        </w:rPr>
        <w:t xml:space="preserve"> </w:t>
      </w:r>
      <w:r>
        <w:t>telefonnumret</w:t>
      </w:r>
      <w:r>
        <w:rPr>
          <w:spacing w:val="-7"/>
        </w:rPr>
        <w:t xml:space="preserve"> </w:t>
      </w:r>
      <w:r w:rsidR="00F41AB2">
        <w:t>+32 22999696</w:t>
      </w:r>
      <w:r>
        <w:rPr>
          <w:spacing w:val="-2"/>
        </w:rPr>
        <w:t>.</w:t>
      </w:r>
    </w:p>
    <w:p w14:paraId="704D5029" w14:textId="77777777" w:rsidR="006E736A" w:rsidRDefault="00000000" w:rsidP="00F41AB2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Skriv</w:t>
      </w:r>
      <w:r>
        <w:rPr>
          <w:spacing w:val="-10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formuläret</w:t>
      </w:r>
      <w:r>
        <w:rPr>
          <w:spacing w:val="-10"/>
        </w:rPr>
        <w:t xml:space="preserve"> </w:t>
      </w:r>
      <w:r>
        <w:t>på</w:t>
      </w:r>
      <w:r>
        <w:rPr>
          <w:spacing w:val="-10"/>
        </w:rPr>
        <w:t xml:space="preserve"> </w:t>
      </w:r>
      <w:r>
        <w:t>nätet</w:t>
      </w:r>
      <w:r>
        <w:rPr>
          <w:spacing w:val="-10"/>
        </w:rPr>
        <w:t xml:space="preserve"> </w:t>
      </w:r>
      <w:r>
        <w:t>(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us_sv</w:t>
        </w:r>
      </w:hyperlink>
      <w:r>
        <w:rPr>
          <w:spacing w:val="-2"/>
        </w:rPr>
        <w:t>).</w:t>
      </w:r>
    </w:p>
    <w:p w14:paraId="61093A6A" w14:textId="77777777" w:rsidR="006E736A" w:rsidRDefault="006E736A" w:rsidP="00F41AB2">
      <w:pPr>
        <w:pStyle w:val="BodyText"/>
        <w:spacing w:before="182"/>
        <w:rPr>
          <w:sz w:val="22"/>
        </w:rPr>
      </w:pPr>
    </w:p>
    <w:p w14:paraId="3A12E8B9" w14:textId="77777777" w:rsidR="006E736A" w:rsidRDefault="00000000" w:rsidP="00F41AB2">
      <w:pPr>
        <w:pStyle w:val="Heading1"/>
      </w:pPr>
      <w:r>
        <w:rPr>
          <w:spacing w:val="-2"/>
        </w:rPr>
        <w:t>EU-information</w:t>
      </w:r>
    </w:p>
    <w:p w14:paraId="0276D07C" w14:textId="77777777" w:rsidR="006E736A" w:rsidRDefault="00000000" w:rsidP="00F41AB2">
      <w:pPr>
        <w:pStyle w:val="Heading2"/>
        <w:spacing w:before="155"/>
      </w:pPr>
      <w:r>
        <w:t>På</w:t>
      </w:r>
      <w:r>
        <w:rPr>
          <w:spacing w:val="-2"/>
        </w:rPr>
        <w:t xml:space="preserve"> nätet</w:t>
      </w:r>
    </w:p>
    <w:p w14:paraId="2328DF45" w14:textId="77777777" w:rsidR="006E736A" w:rsidRDefault="00000000" w:rsidP="00F41AB2">
      <w:pPr>
        <w:spacing w:before="166" w:line="290" w:lineRule="auto"/>
        <w:ind w:left="85"/>
      </w:pPr>
      <w:r>
        <w:t>På</w:t>
      </w:r>
      <w:r>
        <w:rPr>
          <w:spacing w:val="-5"/>
        </w:rPr>
        <w:t xml:space="preserve"> </w:t>
      </w:r>
      <w:r>
        <w:t>webbplatsen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finns</w:t>
      </w:r>
      <w:r>
        <w:rPr>
          <w:spacing w:val="-5"/>
        </w:rPr>
        <w:t xml:space="preserve"> </w:t>
      </w:r>
      <w:r>
        <w:t>det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officiella</w:t>
      </w:r>
      <w:r>
        <w:rPr>
          <w:spacing w:val="-5"/>
        </w:rPr>
        <w:t xml:space="preserve"> </w:t>
      </w:r>
      <w:r>
        <w:t xml:space="preserve">EU-språk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20A12B6" w14:textId="77777777" w:rsidR="006E736A" w:rsidRDefault="00000000" w:rsidP="00F41AB2">
      <w:pPr>
        <w:pStyle w:val="Heading2"/>
      </w:pPr>
      <w:r>
        <w:rPr>
          <w:spacing w:val="-2"/>
        </w:rPr>
        <w:t>EU-publikationer</w:t>
      </w:r>
    </w:p>
    <w:p w14:paraId="077CCD40" w14:textId="77777777" w:rsidR="006E736A" w:rsidRDefault="00000000" w:rsidP="00F41AB2">
      <w:pPr>
        <w:spacing w:before="167" w:line="285" w:lineRule="auto"/>
        <w:ind w:left="85"/>
      </w:pPr>
      <w:r>
        <w:t>Läs eller beställ EU-publikationer på nätet (</w:t>
      </w:r>
      <w:hyperlink r:id="rId19">
        <w:r>
          <w:rPr>
            <w:color w:val="0000FF"/>
            <w:u w:val="single" w:color="0000FF"/>
          </w:rPr>
          <w:t>op.europa.eu/sv/publications</w:t>
        </w:r>
      </w:hyperlink>
      <w:r>
        <w:t>). Om du behöver flera kopior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gratispublikation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lokala</w:t>
      </w:r>
      <w:r>
        <w:rPr>
          <w:spacing w:val="-4"/>
        </w:rPr>
        <w:t xml:space="preserve"> </w:t>
      </w:r>
      <w:r>
        <w:t xml:space="preserve">dokumentationscentrum </w:t>
      </w:r>
      <w:r>
        <w:rPr>
          <w:spacing w:val="-2"/>
        </w:rPr>
        <w:t>(</w:t>
      </w:r>
      <w:hyperlink r:id="rId2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22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59DAD0E9" w14:textId="77777777" w:rsidR="006E736A" w:rsidRDefault="00000000" w:rsidP="00F41AB2">
      <w:pPr>
        <w:pStyle w:val="Heading2"/>
        <w:spacing w:before="96"/>
      </w:pPr>
      <w:r>
        <w:t>EU-lagstiftning</w:t>
      </w:r>
      <w:r>
        <w:rPr>
          <w:spacing w:val="-8"/>
        </w:rPr>
        <w:t xml:space="preserve"> </w:t>
      </w:r>
      <w:r>
        <w:t>och</w:t>
      </w:r>
      <w:r>
        <w:rPr>
          <w:spacing w:val="-8"/>
        </w:rPr>
        <w:t xml:space="preserve"> </w:t>
      </w:r>
      <w:r>
        <w:t>andra</w:t>
      </w:r>
      <w:r>
        <w:rPr>
          <w:spacing w:val="-8"/>
        </w:rPr>
        <w:t xml:space="preserve"> </w:t>
      </w:r>
      <w:r>
        <w:t>rättsliga</w:t>
      </w:r>
      <w:r>
        <w:rPr>
          <w:spacing w:val="-8"/>
        </w:rPr>
        <w:t xml:space="preserve"> </w:t>
      </w:r>
      <w:r>
        <w:rPr>
          <w:spacing w:val="-2"/>
        </w:rPr>
        <w:t>handlingar</w:t>
      </w:r>
    </w:p>
    <w:p w14:paraId="3A8D717B" w14:textId="77777777" w:rsidR="006E736A" w:rsidRDefault="00000000" w:rsidP="00F41AB2">
      <w:pPr>
        <w:spacing w:before="167" w:line="290" w:lineRule="auto"/>
        <w:ind w:left="85"/>
      </w:pPr>
      <w:r>
        <w:t>Rättsliga</w:t>
      </w:r>
      <w:r>
        <w:rPr>
          <w:spacing w:val="-4"/>
        </w:rPr>
        <w:t xml:space="preserve"> </w:t>
      </w:r>
      <w:r>
        <w:t>handlingar</w:t>
      </w:r>
      <w:r>
        <w:rPr>
          <w:spacing w:val="-4"/>
        </w:rPr>
        <w:t xml:space="preserve"> </w:t>
      </w:r>
      <w:r>
        <w:t>från</w:t>
      </w:r>
      <w:r>
        <w:rPr>
          <w:spacing w:val="-4"/>
        </w:rPr>
        <w:t xml:space="preserve"> </w:t>
      </w:r>
      <w:r>
        <w:t>EU,</w:t>
      </w:r>
      <w:r>
        <w:rPr>
          <w:spacing w:val="-4"/>
        </w:rPr>
        <w:t xml:space="preserve"> </w:t>
      </w:r>
      <w:r>
        <w:t>inklusive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EU-lagstiftning</w:t>
      </w:r>
      <w:r>
        <w:rPr>
          <w:spacing w:val="-4"/>
        </w:rPr>
        <w:t xml:space="preserve"> </w:t>
      </w:r>
      <w:r>
        <w:t>sedan</w:t>
      </w:r>
      <w:r>
        <w:rPr>
          <w:spacing w:val="-4"/>
        </w:rPr>
        <w:t xml:space="preserve"> </w:t>
      </w:r>
      <w:r>
        <w:t>1951,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officiella</w:t>
      </w:r>
      <w:r>
        <w:rPr>
          <w:spacing w:val="-4"/>
        </w:rPr>
        <w:t xml:space="preserve"> </w:t>
      </w:r>
      <w:r>
        <w:t>EU-språk</w:t>
      </w:r>
      <w:r>
        <w:rPr>
          <w:spacing w:val="-4"/>
        </w:rPr>
        <w:t xml:space="preserve"> </w:t>
      </w:r>
      <w:r>
        <w:t>på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F4758AB" w14:textId="77777777" w:rsidR="006E736A" w:rsidRDefault="00000000" w:rsidP="00F41AB2">
      <w:pPr>
        <w:pStyle w:val="Heading2"/>
      </w:pPr>
      <w:r>
        <w:t>Öppna</w:t>
      </w:r>
      <w:r>
        <w:rPr>
          <w:spacing w:val="-8"/>
        </w:rPr>
        <w:t xml:space="preserve"> </w:t>
      </w:r>
      <w:r>
        <w:t>EU-</w:t>
      </w:r>
      <w:r>
        <w:rPr>
          <w:spacing w:val="-4"/>
        </w:rPr>
        <w:t>data</w:t>
      </w:r>
    </w:p>
    <w:p w14:paraId="4F2181EB" w14:textId="77777777" w:rsidR="006E736A" w:rsidRDefault="00000000" w:rsidP="00F41AB2">
      <w:pPr>
        <w:spacing w:before="166" w:line="290" w:lineRule="auto"/>
        <w:ind w:left="85"/>
      </w:pPr>
      <w:r>
        <w:t xml:space="preserve">Portalen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F41AB2">
        <w:rPr>
          <w:color w:val="0000FF"/>
          <w:u w:val="single"/>
        </w:rPr>
        <w:t xml:space="preserve"> </w:t>
      </w:r>
      <w:r>
        <w:t>ger tillgång till öppna datamängder från EU:s institutioner, organ och byråer. De kan</w:t>
      </w:r>
      <w:r>
        <w:rPr>
          <w:spacing w:val="-3"/>
        </w:rPr>
        <w:t xml:space="preserve"> </w:t>
      </w:r>
      <w:r>
        <w:t>laddas</w:t>
      </w:r>
      <w:r>
        <w:rPr>
          <w:spacing w:val="-3"/>
        </w:rPr>
        <w:t xml:space="preserve"> </w:t>
      </w:r>
      <w:r>
        <w:t>ned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användas</w:t>
      </w:r>
      <w:r>
        <w:rPr>
          <w:spacing w:val="-3"/>
        </w:rPr>
        <w:t xml:space="preserve"> </w:t>
      </w:r>
      <w:r>
        <w:t>fritt</w:t>
      </w:r>
      <w:r>
        <w:rPr>
          <w:spacing w:val="-3"/>
        </w:rPr>
        <w:t xml:space="preserve"> </w:t>
      </w:r>
      <w:r>
        <w:t>för</w:t>
      </w:r>
      <w:r>
        <w:rPr>
          <w:spacing w:val="-3"/>
        </w:rPr>
        <w:t xml:space="preserve"> </w:t>
      </w:r>
      <w:r>
        <w:t>kommersiella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andra</w:t>
      </w:r>
      <w:r>
        <w:rPr>
          <w:spacing w:val="-3"/>
        </w:rPr>
        <w:t xml:space="preserve"> </w:t>
      </w:r>
      <w:r>
        <w:t>ändamål.</w:t>
      </w:r>
      <w:r>
        <w:rPr>
          <w:spacing w:val="-3"/>
        </w:rPr>
        <w:t xml:space="preserve"> </w:t>
      </w:r>
      <w:r>
        <w:t>Portalen</w:t>
      </w:r>
      <w:r>
        <w:rPr>
          <w:spacing w:val="-3"/>
        </w:rPr>
        <w:t xml:space="preserve"> </w:t>
      </w:r>
      <w:r>
        <w:t>ger</w:t>
      </w:r>
      <w:r>
        <w:rPr>
          <w:spacing w:val="-3"/>
        </w:rPr>
        <w:t xml:space="preserve"> </w:t>
      </w:r>
      <w:r>
        <w:t>också</w:t>
      </w:r>
      <w:r>
        <w:rPr>
          <w:spacing w:val="-3"/>
        </w:rPr>
        <w:t xml:space="preserve"> </w:t>
      </w:r>
      <w:r>
        <w:t>tillgång</w:t>
      </w:r>
      <w:r>
        <w:rPr>
          <w:spacing w:val="-3"/>
        </w:rPr>
        <w:t xml:space="preserve"> </w:t>
      </w:r>
      <w:r>
        <w:t>till</w:t>
      </w:r>
      <w:r>
        <w:rPr>
          <w:spacing w:val="-3"/>
        </w:rPr>
        <w:t xml:space="preserve"> </w:t>
      </w:r>
      <w:r>
        <w:t>en stor mängd data från EU-länderna.</w:t>
      </w:r>
    </w:p>
    <w:sectPr w:rsidR="006E736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90E4C"/>
    <w:multiLevelType w:val="hybridMultilevel"/>
    <w:tmpl w:val="42D2FE02"/>
    <w:lvl w:ilvl="0" w:tplc="5200374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 w:tplc="88E066E0">
      <w:numFmt w:val="bullet"/>
      <w:lvlText w:val="•"/>
      <w:lvlJc w:val="left"/>
      <w:pPr>
        <w:ind w:left="1481" w:hanging="400"/>
      </w:pPr>
      <w:rPr>
        <w:rFonts w:hint="default"/>
        <w:lang w:val="sv-SE" w:eastAsia="en-US" w:bidi="ar-SA"/>
      </w:rPr>
    </w:lvl>
    <w:lvl w:ilvl="2" w:tplc="1890C162">
      <w:numFmt w:val="bullet"/>
      <w:lvlText w:val="•"/>
      <w:lvlJc w:val="left"/>
      <w:pPr>
        <w:ind w:left="2482" w:hanging="400"/>
      </w:pPr>
      <w:rPr>
        <w:rFonts w:hint="default"/>
        <w:lang w:val="sv-SE" w:eastAsia="en-US" w:bidi="ar-SA"/>
      </w:rPr>
    </w:lvl>
    <w:lvl w:ilvl="3" w:tplc="71E60E36">
      <w:numFmt w:val="bullet"/>
      <w:lvlText w:val="•"/>
      <w:lvlJc w:val="left"/>
      <w:pPr>
        <w:ind w:left="3483" w:hanging="400"/>
      </w:pPr>
      <w:rPr>
        <w:rFonts w:hint="default"/>
        <w:lang w:val="sv-SE" w:eastAsia="en-US" w:bidi="ar-SA"/>
      </w:rPr>
    </w:lvl>
    <w:lvl w:ilvl="4" w:tplc="9E8CE52C">
      <w:numFmt w:val="bullet"/>
      <w:lvlText w:val="•"/>
      <w:lvlJc w:val="left"/>
      <w:pPr>
        <w:ind w:left="4485" w:hanging="400"/>
      </w:pPr>
      <w:rPr>
        <w:rFonts w:hint="default"/>
        <w:lang w:val="sv-SE" w:eastAsia="en-US" w:bidi="ar-SA"/>
      </w:rPr>
    </w:lvl>
    <w:lvl w:ilvl="5" w:tplc="4A8C5DD8">
      <w:numFmt w:val="bullet"/>
      <w:lvlText w:val="•"/>
      <w:lvlJc w:val="left"/>
      <w:pPr>
        <w:ind w:left="5486" w:hanging="400"/>
      </w:pPr>
      <w:rPr>
        <w:rFonts w:hint="default"/>
        <w:lang w:val="sv-SE" w:eastAsia="en-US" w:bidi="ar-SA"/>
      </w:rPr>
    </w:lvl>
    <w:lvl w:ilvl="6" w:tplc="B6F20644">
      <w:numFmt w:val="bullet"/>
      <w:lvlText w:val="•"/>
      <w:lvlJc w:val="left"/>
      <w:pPr>
        <w:ind w:left="6487" w:hanging="400"/>
      </w:pPr>
      <w:rPr>
        <w:rFonts w:hint="default"/>
        <w:lang w:val="sv-SE" w:eastAsia="en-US" w:bidi="ar-SA"/>
      </w:rPr>
    </w:lvl>
    <w:lvl w:ilvl="7" w:tplc="D7A43A18">
      <w:numFmt w:val="bullet"/>
      <w:lvlText w:val="•"/>
      <w:lvlJc w:val="left"/>
      <w:pPr>
        <w:ind w:left="7488" w:hanging="400"/>
      </w:pPr>
      <w:rPr>
        <w:rFonts w:hint="default"/>
        <w:lang w:val="sv-SE" w:eastAsia="en-US" w:bidi="ar-SA"/>
      </w:rPr>
    </w:lvl>
    <w:lvl w:ilvl="8" w:tplc="14B81E78">
      <w:numFmt w:val="bullet"/>
      <w:lvlText w:val="•"/>
      <w:lvlJc w:val="left"/>
      <w:pPr>
        <w:ind w:left="8490" w:hanging="400"/>
      </w:pPr>
      <w:rPr>
        <w:rFonts w:hint="default"/>
        <w:lang w:val="sv-SE" w:eastAsia="en-US" w:bidi="ar-SA"/>
      </w:rPr>
    </w:lvl>
  </w:abstractNum>
  <w:abstractNum w:abstractNumId="1" w15:restartNumberingAfterBreak="0">
    <w:nsid w:val="1EB00315"/>
    <w:multiLevelType w:val="hybridMultilevel"/>
    <w:tmpl w:val="BF28EF7E"/>
    <w:lvl w:ilvl="0" w:tplc="44ECA86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 w:tplc="AD04187C">
      <w:numFmt w:val="bullet"/>
      <w:lvlText w:val="•"/>
      <w:lvlJc w:val="left"/>
      <w:pPr>
        <w:ind w:left="1391" w:hanging="300"/>
      </w:pPr>
      <w:rPr>
        <w:rFonts w:hint="default"/>
        <w:lang w:val="sv-SE" w:eastAsia="en-US" w:bidi="ar-SA"/>
      </w:rPr>
    </w:lvl>
    <w:lvl w:ilvl="2" w:tplc="AD146194">
      <w:numFmt w:val="bullet"/>
      <w:lvlText w:val="•"/>
      <w:lvlJc w:val="left"/>
      <w:pPr>
        <w:ind w:left="2402" w:hanging="300"/>
      </w:pPr>
      <w:rPr>
        <w:rFonts w:hint="default"/>
        <w:lang w:val="sv-SE" w:eastAsia="en-US" w:bidi="ar-SA"/>
      </w:rPr>
    </w:lvl>
    <w:lvl w:ilvl="3" w:tplc="D67E3BEE">
      <w:numFmt w:val="bullet"/>
      <w:lvlText w:val="•"/>
      <w:lvlJc w:val="left"/>
      <w:pPr>
        <w:ind w:left="3413" w:hanging="300"/>
      </w:pPr>
      <w:rPr>
        <w:rFonts w:hint="default"/>
        <w:lang w:val="sv-SE" w:eastAsia="en-US" w:bidi="ar-SA"/>
      </w:rPr>
    </w:lvl>
    <w:lvl w:ilvl="4" w:tplc="AC664F62">
      <w:numFmt w:val="bullet"/>
      <w:lvlText w:val="•"/>
      <w:lvlJc w:val="left"/>
      <w:pPr>
        <w:ind w:left="4425" w:hanging="300"/>
      </w:pPr>
      <w:rPr>
        <w:rFonts w:hint="default"/>
        <w:lang w:val="sv-SE" w:eastAsia="en-US" w:bidi="ar-SA"/>
      </w:rPr>
    </w:lvl>
    <w:lvl w:ilvl="5" w:tplc="BC6E5C50">
      <w:numFmt w:val="bullet"/>
      <w:lvlText w:val="•"/>
      <w:lvlJc w:val="left"/>
      <w:pPr>
        <w:ind w:left="5436" w:hanging="300"/>
      </w:pPr>
      <w:rPr>
        <w:rFonts w:hint="default"/>
        <w:lang w:val="sv-SE" w:eastAsia="en-US" w:bidi="ar-SA"/>
      </w:rPr>
    </w:lvl>
    <w:lvl w:ilvl="6" w:tplc="ED1AAD86">
      <w:numFmt w:val="bullet"/>
      <w:lvlText w:val="•"/>
      <w:lvlJc w:val="left"/>
      <w:pPr>
        <w:ind w:left="6447" w:hanging="300"/>
      </w:pPr>
      <w:rPr>
        <w:rFonts w:hint="default"/>
        <w:lang w:val="sv-SE" w:eastAsia="en-US" w:bidi="ar-SA"/>
      </w:rPr>
    </w:lvl>
    <w:lvl w:ilvl="7" w:tplc="9F748E82">
      <w:numFmt w:val="bullet"/>
      <w:lvlText w:val="•"/>
      <w:lvlJc w:val="left"/>
      <w:pPr>
        <w:ind w:left="7458" w:hanging="300"/>
      </w:pPr>
      <w:rPr>
        <w:rFonts w:hint="default"/>
        <w:lang w:val="sv-SE" w:eastAsia="en-US" w:bidi="ar-SA"/>
      </w:rPr>
    </w:lvl>
    <w:lvl w:ilvl="8" w:tplc="907E96B8">
      <w:numFmt w:val="bullet"/>
      <w:lvlText w:val="•"/>
      <w:lvlJc w:val="left"/>
      <w:pPr>
        <w:ind w:left="8470" w:hanging="300"/>
      </w:pPr>
      <w:rPr>
        <w:rFonts w:hint="default"/>
        <w:lang w:val="sv-SE" w:eastAsia="en-US" w:bidi="ar-SA"/>
      </w:rPr>
    </w:lvl>
  </w:abstractNum>
  <w:abstractNum w:abstractNumId="2" w15:restartNumberingAfterBreak="0">
    <w:nsid w:val="47D02995"/>
    <w:multiLevelType w:val="hybridMultilevel"/>
    <w:tmpl w:val="C854C60A"/>
    <w:lvl w:ilvl="0" w:tplc="F116693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 w:tplc="39A4C4EE">
      <w:numFmt w:val="bullet"/>
      <w:lvlText w:val="•"/>
      <w:lvlJc w:val="left"/>
      <w:pPr>
        <w:ind w:left="1481" w:hanging="380"/>
      </w:pPr>
      <w:rPr>
        <w:rFonts w:hint="default"/>
        <w:lang w:val="sv-SE" w:eastAsia="en-US" w:bidi="ar-SA"/>
      </w:rPr>
    </w:lvl>
    <w:lvl w:ilvl="2" w:tplc="9378D0EE">
      <w:numFmt w:val="bullet"/>
      <w:lvlText w:val="•"/>
      <w:lvlJc w:val="left"/>
      <w:pPr>
        <w:ind w:left="2482" w:hanging="380"/>
      </w:pPr>
      <w:rPr>
        <w:rFonts w:hint="default"/>
        <w:lang w:val="sv-SE" w:eastAsia="en-US" w:bidi="ar-SA"/>
      </w:rPr>
    </w:lvl>
    <w:lvl w:ilvl="3" w:tplc="E5EC1BCA">
      <w:numFmt w:val="bullet"/>
      <w:lvlText w:val="•"/>
      <w:lvlJc w:val="left"/>
      <w:pPr>
        <w:ind w:left="3483" w:hanging="380"/>
      </w:pPr>
      <w:rPr>
        <w:rFonts w:hint="default"/>
        <w:lang w:val="sv-SE" w:eastAsia="en-US" w:bidi="ar-SA"/>
      </w:rPr>
    </w:lvl>
    <w:lvl w:ilvl="4" w:tplc="846A3B34">
      <w:numFmt w:val="bullet"/>
      <w:lvlText w:val="•"/>
      <w:lvlJc w:val="left"/>
      <w:pPr>
        <w:ind w:left="4485" w:hanging="380"/>
      </w:pPr>
      <w:rPr>
        <w:rFonts w:hint="default"/>
        <w:lang w:val="sv-SE" w:eastAsia="en-US" w:bidi="ar-SA"/>
      </w:rPr>
    </w:lvl>
    <w:lvl w:ilvl="5" w:tplc="AE14DED2">
      <w:numFmt w:val="bullet"/>
      <w:lvlText w:val="•"/>
      <w:lvlJc w:val="left"/>
      <w:pPr>
        <w:ind w:left="5486" w:hanging="380"/>
      </w:pPr>
      <w:rPr>
        <w:rFonts w:hint="default"/>
        <w:lang w:val="sv-SE" w:eastAsia="en-US" w:bidi="ar-SA"/>
      </w:rPr>
    </w:lvl>
    <w:lvl w:ilvl="6" w:tplc="DD00FE22">
      <w:numFmt w:val="bullet"/>
      <w:lvlText w:val="•"/>
      <w:lvlJc w:val="left"/>
      <w:pPr>
        <w:ind w:left="6487" w:hanging="380"/>
      </w:pPr>
      <w:rPr>
        <w:rFonts w:hint="default"/>
        <w:lang w:val="sv-SE" w:eastAsia="en-US" w:bidi="ar-SA"/>
      </w:rPr>
    </w:lvl>
    <w:lvl w:ilvl="7" w:tplc="E144A652">
      <w:numFmt w:val="bullet"/>
      <w:lvlText w:val="•"/>
      <w:lvlJc w:val="left"/>
      <w:pPr>
        <w:ind w:left="7488" w:hanging="380"/>
      </w:pPr>
      <w:rPr>
        <w:rFonts w:hint="default"/>
        <w:lang w:val="sv-SE" w:eastAsia="en-US" w:bidi="ar-SA"/>
      </w:rPr>
    </w:lvl>
    <w:lvl w:ilvl="8" w:tplc="02EA2310">
      <w:numFmt w:val="bullet"/>
      <w:lvlText w:val="•"/>
      <w:lvlJc w:val="left"/>
      <w:pPr>
        <w:ind w:left="8490" w:hanging="380"/>
      </w:pPr>
      <w:rPr>
        <w:rFonts w:hint="default"/>
        <w:lang w:val="sv-SE" w:eastAsia="en-US" w:bidi="ar-SA"/>
      </w:rPr>
    </w:lvl>
  </w:abstractNum>
  <w:num w:numId="1" w16cid:durableId="1941528851">
    <w:abstractNumId w:val="0"/>
  </w:num>
  <w:num w:numId="2" w16cid:durableId="982585671">
    <w:abstractNumId w:val="1"/>
  </w:num>
  <w:num w:numId="3" w16cid:durableId="2087457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736A"/>
    <w:rsid w:val="006E736A"/>
    <w:rsid w:val="00F41AB2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C7B56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v-S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sv" TargetMode="External"/><Relationship Id="rId18" Type="http://schemas.openxmlformats.org/officeDocument/2006/relationships/hyperlink" Target="https://european-union.europa.eu/index_sv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sv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sv" TargetMode="External"/><Relationship Id="rId17" Type="http://schemas.openxmlformats.org/officeDocument/2006/relationships/hyperlink" Target="https://european-union.europa.eu/contact-eu/write-us_sv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sv" TargetMode="External"/><Relationship Id="rId20" Type="http://schemas.openxmlformats.org/officeDocument/2006/relationships/hyperlink" Target="https://european-union.europa.eu/contact-eu/meet-us_sv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v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sv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v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sv" TargetMode="External"/><Relationship Id="rId22" Type="http://schemas.openxmlformats.org/officeDocument/2006/relationships/hyperlink" Target="https://european-union.europa.eu/contact-eu/meet-us_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5300</Characters>
  <Application>Microsoft Office Word</Application>
  <DocSecurity>0</DocSecurity>
  <Lines>129</Lines>
  <Paragraphs>87</Paragraphs>
  <ScaleCrop>false</ScaleCrop>
  <Company>European Commission 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SV</dc:title>
  <cp:lastModifiedBy>THYLANDER Kate (OP)</cp:lastModifiedBy>
  <cp:revision>2</cp:revision>
  <dcterms:created xsi:type="dcterms:W3CDTF">2025-08-11T13:40:00Z</dcterms:created>
  <dcterms:modified xsi:type="dcterms:W3CDTF">2025-08-11T13:41:00Z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2025-08-11T13:41:59Z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471b8e08-dc62-4c5f-9dcb-c51a415c57da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